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CE0D" w14:textId="77777777" w:rsidR="006B19A6" w:rsidRDefault="006B19A6" w:rsidP="006B19A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32"/>
          <w:szCs w:val="32"/>
        </w:rPr>
      </w:pPr>
      <w:r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Job Description </w:t>
      </w:r>
    </w:p>
    <w:p w14:paraId="0E4D7CE0" w14:textId="77777777" w:rsidR="006B19A6" w:rsidRDefault="006B19A6" w:rsidP="006B19A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6B19A6" w14:paraId="1E16CBA8" w14:textId="77777777" w:rsidTr="00A87477">
        <w:tc>
          <w:tcPr>
            <w:tcW w:w="2628" w:type="dxa"/>
          </w:tcPr>
          <w:p w14:paraId="4DBC6109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Position:</w:t>
            </w:r>
          </w:p>
          <w:p w14:paraId="4EE370EF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0670526D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Hardware Team Leader</w:t>
            </w:r>
          </w:p>
        </w:tc>
      </w:tr>
      <w:tr w:rsidR="006B19A6" w14:paraId="0395BC6D" w14:textId="77777777" w:rsidTr="00A87477">
        <w:tc>
          <w:tcPr>
            <w:tcW w:w="2628" w:type="dxa"/>
          </w:tcPr>
          <w:p w14:paraId="6B8FBE60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Directly reports to:</w:t>
            </w:r>
          </w:p>
        </w:tc>
        <w:tc>
          <w:tcPr>
            <w:tcW w:w="7227" w:type="dxa"/>
          </w:tcPr>
          <w:p w14:paraId="04875A9F" w14:textId="7F66434F" w:rsidR="006B19A6" w:rsidRDefault="00E34519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Group COO</w:t>
            </w:r>
          </w:p>
          <w:p w14:paraId="57AC2F0C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6B19A6" w14:paraId="77A42A50" w14:textId="77777777" w:rsidTr="00A87477">
        <w:tc>
          <w:tcPr>
            <w:tcW w:w="2628" w:type="dxa"/>
          </w:tcPr>
          <w:p w14:paraId="226A45A4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Reports (</w:t>
            </w:r>
            <w:proofErr w:type="gramStart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dotted-line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) to:</w:t>
            </w:r>
          </w:p>
        </w:tc>
        <w:tc>
          <w:tcPr>
            <w:tcW w:w="7227" w:type="dxa"/>
          </w:tcPr>
          <w:p w14:paraId="61FE6637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33EC94AF" w14:textId="77777777" w:rsidTr="00A87477">
        <w:tc>
          <w:tcPr>
            <w:tcW w:w="2628" w:type="dxa"/>
          </w:tcPr>
          <w:p w14:paraId="6FF83333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Direct reports:</w:t>
            </w:r>
          </w:p>
        </w:tc>
        <w:tc>
          <w:tcPr>
            <w:tcW w:w="7227" w:type="dxa"/>
          </w:tcPr>
          <w:p w14:paraId="1FD11A59" w14:textId="660774E5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Members of the Hardware Team</w:t>
            </w:r>
          </w:p>
        </w:tc>
      </w:tr>
      <w:tr w:rsidR="006B19A6" w14:paraId="211A61F7" w14:textId="77777777" w:rsidTr="00A87477">
        <w:tc>
          <w:tcPr>
            <w:tcW w:w="2628" w:type="dxa"/>
          </w:tcPr>
          <w:p w14:paraId="1610DAF0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Regularly interacts with:</w:t>
            </w:r>
          </w:p>
        </w:tc>
        <w:tc>
          <w:tcPr>
            <w:tcW w:w="7227" w:type="dxa"/>
          </w:tcPr>
          <w:p w14:paraId="1FABE91B" w14:textId="33B69C90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Other engineers within the Software Group. The Manufacturing Group. The Product Management Group. </w:t>
            </w:r>
          </w:p>
        </w:tc>
      </w:tr>
      <w:tr w:rsidR="006B19A6" w14:paraId="7D5F78DA" w14:textId="77777777" w:rsidTr="00A87477">
        <w:tc>
          <w:tcPr>
            <w:tcW w:w="2628" w:type="dxa"/>
          </w:tcPr>
          <w:p w14:paraId="0C2CFA34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Primary location:</w:t>
            </w:r>
          </w:p>
        </w:tc>
        <w:tc>
          <w:tcPr>
            <w:tcW w:w="7227" w:type="dxa"/>
          </w:tcPr>
          <w:p w14:paraId="34875C95" w14:textId="2B0A5D62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Cyan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Connode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Office (Cambridge)</w:t>
            </w:r>
          </w:p>
          <w:p w14:paraId="47F782BD" w14:textId="77777777" w:rsidR="006B19A6" w:rsidRPr="00453F8A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33A9047E" w14:textId="77777777" w:rsidTr="00A87477">
        <w:tc>
          <w:tcPr>
            <w:tcW w:w="2628" w:type="dxa"/>
          </w:tcPr>
          <w:p w14:paraId="52AC4E7C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Travel requirements:</w:t>
            </w:r>
          </w:p>
        </w:tc>
        <w:tc>
          <w:tcPr>
            <w:tcW w:w="7227" w:type="dxa"/>
          </w:tcPr>
          <w:p w14:paraId="374BDEA9" w14:textId="00FBFF78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Occasional visits to UK Manufacturing Subcontractors and EMC/EMI/RF Test Houses.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possible visits to support overseas CEMs and customers sites.</w:t>
            </w:r>
          </w:p>
          <w:p w14:paraId="74A9DDA5" w14:textId="77777777" w:rsidR="006B19A6" w:rsidRPr="00453F8A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2FC2D2F5" w14:textId="77777777" w:rsidTr="00A87477">
        <w:tc>
          <w:tcPr>
            <w:tcW w:w="2628" w:type="dxa"/>
          </w:tcPr>
          <w:p w14:paraId="761E31DB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Role description:</w:t>
            </w:r>
          </w:p>
        </w:tc>
        <w:tc>
          <w:tcPr>
            <w:tcW w:w="7227" w:type="dxa"/>
          </w:tcPr>
          <w:p w14:paraId="7F6BA7D3" w14:textId="6B0DDFC4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You will manage the design and development of </w:t>
            </w:r>
            <w:proofErr w:type="gram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Cyan</w:t>
            </w:r>
            <w:proofErr w:type="gram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range of hardware products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support the manufactur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ing process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use of these products.</w:t>
            </w:r>
          </w:p>
          <w:p w14:paraId="601240DD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374F37D3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>You will have close invo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lvement in the complete hardware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development process from product speci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fication to achieving a final certified product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14:paraId="751D75D0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063D9671" w14:textId="31DF3F6E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As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leader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of a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the HW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team you will have owne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rship of the development of all Cyan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Connode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hardware products.</w:t>
            </w:r>
            <w:r w:rsidRPr="00085FD5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The role will involve the practice and development of a wide range of skills in a dynamic environment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. You will be working with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in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 strong engineering team on a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day-to-day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basis to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deliver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excellent products in a timely manner.</w:t>
            </w:r>
          </w:p>
          <w:p w14:paraId="03C1137E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21158338" w14:textId="07C15450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The ideal candidate will have demonstrable experience and knowledge of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low power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RF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, microcontroller 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circuits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and mains + low power PSU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hardware design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>. The candidate should also have a full understanding of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certification and qualification 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>of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HW 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>design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>s for quality of design,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reliability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>, manufacture, high volume products</w:t>
            </w:r>
            <w:r w:rsidR="00E3451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regulatory approval of similar products for international </w:t>
            </w:r>
            <w:r w:rsidR="0052223C">
              <w:rPr>
                <w:rFonts w:ascii="Trebuchet MS" w:hAnsi="Trebuchet MS" w:cs="Arial"/>
                <w:color w:val="000000"/>
                <w:sz w:val="20"/>
                <w:szCs w:val="20"/>
              </w:rPr>
              <w:t>markets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14:paraId="5157C8E5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6B19A6" w14:paraId="4395527B" w14:textId="77777777" w:rsidTr="00A87477">
        <w:tc>
          <w:tcPr>
            <w:tcW w:w="2628" w:type="dxa"/>
          </w:tcPr>
          <w:p w14:paraId="6023CBB5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Primary responsibilities</w:t>
            </w:r>
          </w:p>
          <w:p w14:paraId="584ABC43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will include:</w:t>
            </w:r>
          </w:p>
          <w:p w14:paraId="46254A8E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1FA9F8DD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Strong ‘hands on’ development and Team Leader role based around d</w:t>
            </w:r>
            <w:r w:rsidRPr="00290F7F">
              <w:rPr>
                <w:rFonts w:ascii="Trebuchet MS" w:hAnsi="Trebuchet MS" w:cs="Arial"/>
                <w:color w:val="000000"/>
                <w:sz w:val="20"/>
                <w:szCs w:val="20"/>
              </w:rPr>
              <w:t>esign and development of electronics hardware comprised of microprocessor based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sub GHz</w:t>
            </w:r>
            <w:proofErr w:type="gramEnd"/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ISM band RF equipment</w:t>
            </w:r>
            <w:r w:rsidRPr="00290F7F">
              <w:rPr>
                <w:rFonts w:ascii="Trebuchet MS" w:hAnsi="Trebuchet MS" w:cs="Arial"/>
                <w:color w:val="000000"/>
                <w:sz w:val="20"/>
                <w:szCs w:val="20"/>
              </w:rPr>
              <w:t>.</w:t>
            </w:r>
          </w:p>
          <w:p w14:paraId="56BCF081" w14:textId="77777777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Development of ISM Band microprocessor radio modules</w:t>
            </w:r>
          </w:p>
          <w:p w14:paraId="296363E0" w14:textId="2F7499F8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Development of gateway/concentrator products</w:t>
            </w:r>
          </w:p>
          <w:p w14:paraId="64FB4823" w14:textId="27437D5C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Development and maintenance of existing modules</w:t>
            </w:r>
          </w:p>
          <w:p w14:paraId="170B56A9" w14:textId="632D0A16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EMC/EMI Compliance Testing</w:t>
            </w:r>
          </w:p>
          <w:p w14:paraId="2908531C" w14:textId="51E8DBC3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Documentation generation to support</w:t>
            </w:r>
          </w:p>
          <w:p w14:paraId="1C3081FD" w14:textId="6D43A5A6" w:rsidR="0052223C" w:rsidRDefault="0052223C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Project management / process control for on time &amp; budget delivery</w:t>
            </w:r>
          </w:p>
          <w:p w14:paraId="3F69181D" w14:textId="5736BB07" w:rsidR="006B19A6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Production test development for high volume</w:t>
            </w:r>
          </w:p>
          <w:p w14:paraId="3DCEDA31" w14:textId="69B1E0C5" w:rsidR="006B19A6" w:rsidRPr="007505B2" w:rsidRDefault="006B19A6" w:rsidP="006B19A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Production processes through to volume manufacturing</w:t>
            </w:r>
            <w:r w:rsidR="00134AD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(NPI)</w:t>
            </w:r>
          </w:p>
        </w:tc>
      </w:tr>
      <w:tr w:rsidR="006B19A6" w14:paraId="185FADBE" w14:textId="77777777" w:rsidTr="00A87477">
        <w:tc>
          <w:tcPr>
            <w:tcW w:w="2628" w:type="dxa"/>
          </w:tcPr>
          <w:p w14:paraId="528A19DD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lastRenderedPageBreak/>
              <w:t>Experience and skills</w:t>
            </w:r>
          </w:p>
          <w:p w14:paraId="170F23AE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required:</w:t>
            </w:r>
          </w:p>
          <w:p w14:paraId="3AD88F5F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2100FC17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  <w:t>Ideal candidates for this role should have the following skills and experience,</w:t>
            </w:r>
          </w:p>
          <w:p w14:paraId="3DD3CA42" w14:textId="14B99ACE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Lead the design through to volume manufacture</w:t>
            </w:r>
            <w:r w:rsidR="00134AD3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and NPI</w:t>
            </w:r>
          </w:p>
          <w:p w14:paraId="01031FE5" w14:textId="2A324C2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Printed circuit board design (schematic capture and PCB layout</w:t>
            </w:r>
            <w:r w:rsidR="007141DC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 Altium preferred</w:t>
            </w: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)</w:t>
            </w:r>
          </w:p>
          <w:p w14:paraId="6FEB4677" w14:textId="43FC8CCB" w:rsid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RF ISM Band Radio</w:t>
            </w:r>
          </w:p>
          <w:p w14:paraId="4AB217FE" w14:textId="27158D93" w:rsidR="007141DC" w:rsidRPr="006B19A6" w:rsidRDefault="007141DC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Antennas and antenna design</w:t>
            </w:r>
          </w:p>
          <w:p w14:paraId="2FFB3EDD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EMC/EMI Compliance testing</w:t>
            </w:r>
          </w:p>
          <w:p w14:paraId="54A77E6C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Regulatory approval process, such as FCC, ETSI, WPC, ANATEL</w:t>
            </w:r>
          </w:p>
          <w:p w14:paraId="38A9E2C8" w14:textId="018798E3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Safety approval process such as CE</w:t>
            </w:r>
            <w:r w:rsidR="00134AD3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, BEAB, UL</w:t>
            </w:r>
          </w:p>
          <w:p w14:paraId="686DDB8F" w14:textId="00E51A9F" w:rsid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Analogue and digital electronics</w:t>
            </w:r>
          </w:p>
          <w:p w14:paraId="703AED8C" w14:textId="4AC45C2F" w:rsidR="007141DC" w:rsidRPr="006B19A6" w:rsidRDefault="007141DC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RF circuits, </w:t>
            </w:r>
            <w:proofErr w:type="gramStart"/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filters</w:t>
            </w:r>
            <w:proofErr w:type="gramEnd"/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and impedance control</w:t>
            </w:r>
          </w:p>
          <w:p w14:paraId="598CF309" w14:textId="220D1633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Embedded Software</w:t>
            </w:r>
          </w:p>
          <w:p w14:paraId="0F54844D" w14:textId="77777777" w:rsidR="006B19A6" w:rsidRPr="006B19A6" w:rsidRDefault="006B19A6" w:rsidP="006B19A6">
            <w:pPr>
              <w:pStyle w:val="BodyText"/>
              <w:numPr>
                <w:ilvl w:val="0"/>
                <w:numId w:val="5"/>
              </w:numPr>
              <w:spacing w:after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Knowledge of device communications protocols</w:t>
            </w:r>
          </w:p>
          <w:p w14:paraId="57D819B9" w14:textId="2C59D702" w:rsidR="006B19A6" w:rsidRDefault="00134AD3" w:rsidP="00134AD3">
            <w:pPr>
              <w:pStyle w:val="BodyText"/>
              <w:numPr>
                <w:ilvl w:val="0"/>
                <w:numId w:val="5"/>
              </w:numPr>
              <w:spacing w:after="240"/>
              <w:ind w:left="714" w:hanging="357"/>
              <w:rPr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>K</w:t>
            </w:r>
            <w:r w:rsidR="006B19A6"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nowledge/experience within the 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AMI </w:t>
            </w:r>
            <w:r w:rsidR="006B19A6" w:rsidRPr="006B19A6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electricity metering</w:t>
            </w:r>
            <w:r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or other similar distributed systems</w:t>
            </w:r>
          </w:p>
        </w:tc>
      </w:tr>
      <w:tr w:rsidR="006B19A6" w14:paraId="7F65CF31" w14:textId="77777777" w:rsidTr="00A87477">
        <w:tc>
          <w:tcPr>
            <w:tcW w:w="2628" w:type="dxa"/>
          </w:tcPr>
          <w:p w14:paraId="29991C34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Personal attributes:</w:t>
            </w:r>
          </w:p>
        </w:tc>
        <w:tc>
          <w:tcPr>
            <w:tcW w:w="7227" w:type="dxa"/>
          </w:tcPr>
          <w:p w14:paraId="71DBC9FC" w14:textId="77777777" w:rsidR="006B19A6" w:rsidRDefault="006B19A6" w:rsidP="00A87477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Personal attributes should include,</w:t>
            </w:r>
          </w:p>
          <w:p w14:paraId="17E0B33F" w14:textId="7B4A10BC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Mature outlook</w:t>
            </w:r>
            <w:r w:rsidR="00134AD3">
              <w:rPr>
                <w:rFonts w:ascii="Trebuchet MS" w:hAnsi="Trebuchet MS"/>
                <w:sz w:val="20"/>
              </w:rPr>
              <w:t xml:space="preserve"> and professional individual</w:t>
            </w:r>
          </w:p>
          <w:p w14:paraId="2249448A" w14:textId="4406C404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Self-starter </w:t>
            </w:r>
            <w:r w:rsidR="00134AD3">
              <w:rPr>
                <w:rFonts w:ascii="Trebuchet MS" w:hAnsi="Trebuchet MS"/>
                <w:sz w:val="20"/>
              </w:rPr>
              <w:t>and</w:t>
            </w:r>
            <w:r>
              <w:rPr>
                <w:rFonts w:ascii="Trebuchet MS" w:hAnsi="Trebuchet MS"/>
                <w:sz w:val="20"/>
              </w:rPr>
              <w:t xml:space="preserve"> ab</w:t>
            </w:r>
            <w:r w:rsidR="00134AD3">
              <w:rPr>
                <w:rFonts w:ascii="Trebuchet MS" w:hAnsi="Trebuchet MS"/>
                <w:sz w:val="20"/>
              </w:rPr>
              <w:t>ility</w:t>
            </w:r>
            <w:r>
              <w:rPr>
                <w:rFonts w:ascii="Trebuchet MS" w:hAnsi="Trebuchet MS"/>
                <w:sz w:val="20"/>
              </w:rPr>
              <w:t xml:space="preserve"> to ‘hit the ground running’</w:t>
            </w:r>
          </w:p>
          <w:p w14:paraId="6FD73500" w14:textId="77777777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to take on responsibility and use initiative</w:t>
            </w:r>
          </w:p>
          <w:p w14:paraId="2E193D28" w14:textId="02F3D49C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Willing to help meet deadlines </w:t>
            </w:r>
            <w:r w:rsidR="00134AD3">
              <w:rPr>
                <w:rFonts w:ascii="Trebuchet MS" w:hAnsi="Trebuchet MS"/>
                <w:sz w:val="20"/>
              </w:rPr>
              <w:t>and identify plans to support this</w:t>
            </w:r>
          </w:p>
          <w:p w14:paraId="194C00A0" w14:textId="77FAB2F6" w:rsidR="006B19A6" w:rsidRPr="00FF5F22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Willingness to mentor and work closely with team members</w:t>
            </w:r>
          </w:p>
          <w:p w14:paraId="13C0AC7B" w14:textId="77777777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Technically inquisitive, eager to learn and adapt</w:t>
            </w:r>
          </w:p>
          <w:p w14:paraId="61A5A08E" w14:textId="20C38E1A" w:rsidR="006B19A6" w:rsidRDefault="00134AD3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Able to instil strong positive culture to support the organisation needs</w:t>
            </w:r>
          </w:p>
          <w:p w14:paraId="2A0D586E" w14:textId="4D9F3FEF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Ability to ‘multi-task’ </w:t>
            </w:r>
            <w:r w:rsidR="00134AD3">
              <w:rPr>
                <w:rFonts w:ascii="Trebuchet MS" w:hAnsi="Trebuchet MS"/>
                <w:sz w:val="20"/>
              </w:rPr>
              <w:t>as required, work to priorities and accept changes to original mandates</w:t>
            </w:r>
          </w:p>
          <w:p w14:paraId="68186C0C" w14:textId="77777777" w:rsidR="00FE682E" w:rsidRDefault="00134AD3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</w:t>
            </w:r>
            <w:r w:rsidR="006B19A6">
              <w:rPr>
                <w:rFonts w:ascii="Trebuchet MS" w:hAnsi="Trebuchet MS"/>
                <w:sz w:val="20"/>
              </w:rPr>
              <w:t>bility to manage own time</w:t>
            </w:r>
          </w:p>
          <w:p w14:paraId="5D063C91" w14:textId="41BDA1B6" w:rsidR="006B19A6" w:rsidRDefault="00FE682E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Ability to identify best </w:t>
            </w:r>
            <w:r w:rsidR="006B19A6">
              <w:rPr>
                <w:rFonts w:ascii="Trebuchet MS" w:hAnsi="Trebuchet MS"/>
                <w:sz w:val="20"/>
              </w:rPr>
              <w:t xml:space="preserve">estimates </w:t>
            </w:r>
            <w:r>
              <w:rPr>
                <w:rFonts w:ascii="Trebuchet MS" w:hAnsi="Trebuchet MS"/>
                <w:sz w:val="20"/>
              </w:rPr>
              <w:t>for</w:t>
            </w:r>
            <w:r w:rsidR="006B19A6">
              <w:rPr>
                <w:rFonts w:ascii="Trebuchet MS" w:hAnsi="Trebuchet MS"/>
                <w:sz w:val="20"/>
              </w:rPr>
              <w:t xml:space="preserve"> work</w:t>
            </w:r>
            <w:r>
              <w:rPr>
                <w:rFonts w:ascii="Trebuchet MS" w:hAnsi="Trebuchet MS"/>
                <w:sz w:val="20"/>
              </w:rPr>
              <w:t xml:space="preserve"> and</w:t>
            </w:r>
            <w:r w:rsidR="00134AD3">
              <w:rPr>
                <w:rFonts w:ascii="Trebuchet MS" w:hAnsi="Trebuchet MS"/>
                <w:sz w:val="20"/>
              </w:rPr>
              <w:t xml:space="preserve"> set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134AD3">
              <w:rPr>
                <w:rFonts w:ascii="Trebuchet MS" w:hAnsi="Trebuchet MS"/>
                <w:sz w:val="20"/>
              </w:rPr>
              <w:t>out planning material as required by the company</w:t>
            </w:r>
            <w:r>
              <w:rPr>
                <w:rFonts w:ascii="Trebuchet MS" w:hAnsi="Trebuchet MS"/>
                <w:sz w:val="20"/>
              </w:rPr>
              <w:t xml:space="preserve"> to deliver on-time</w:t>
            </w:r>
          </w:p>
          <w:p w14:paraId="534E60E3" w14:textId="7E807942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Ability to handle deadlines, quality and management </w:t>
            </w:r>
            <w:r w:rsidR="00FE682E">
              <w:rPr>
                <w:rFonts w:ascii="Trebuchet MS" w:hAnsi="Trebuchet MS"/>
                <w:sz w:val="20"/>
              </w:rPr>
              <w:t xml:space="preserve">requests and understand the needs of the company’s </w:t>
            </w:r>
            <w:r>
              <w:rPr>
                <w:rFonts w:ascii="Trebuchet MS" w:hAnsi="Trebuchet MS"/>
                <w:sz w:val="20"/>
              </w:rPr>
              <w:t>commercial environment</w:t>
            </w:r>
          </w:p>
          <w:p w14:paraId="00E7D8FC" w14:textId="06C6F59F" w:rsidR="006B19A6" w:rsidRDefault="006B19A6" w:rsidP="006B19A6">
            <w:pPr>
              <w:numPr>
                <w:ilvl w:val="0"/>
                <w:numId w:val="7"/>
              </w:num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Willingness to work </w:t>
            </w:r>
            <w:r w:rsidR="00FE682E">
              <w:rPr>
                <w:rFonts w:ascii="Trebuchet MS" w:hAnsi="Trebuchet MS"/>
                <w:sz w:val="20"/>
              </w:rPr>
              <w:t>and motivate the teams to deliver as required by the company’s commercial activities</w:t>
            </w:r>
            <w:r>
              <w:rPr>
                <w:rFonts w:ascii="Trebuchet MS" w:hAnsi="Trebuchet MS"/>
                <w:sz w:val="20"/>
              </w:rPr>
              <w:t xml:space="preserve"> </w:t>
            </w:r>
          </w:p>
          <w:p w14:paraId="597BD9F7" w14:textId="77777777" w:rsidR="006B19A6" w:rsidRPr="00290F7F" w:rsidRDefault="006B19A6" w:rsidP="00A87477">
            <w:pPr>
              <w:ind w:left="720"/>
              <w:rPr>
                <w:rFonts w:ascii="Trebuchet MS" w:hAnsi="Trebuchet MS"/>
                <w:sz w:val="20"/>
              </w:rPr>
            </w:pPr>
          </w:p>
        </w:tc>
      </w:tr>
      <w:tr w:rsidR="006B19A6" w14:paraId="235A6DA3" w14:textId="77777777" w:rsidTr="00A87477">
        <w:tc>
          <w:tcPr>
            <w:tcW w:w="2628" w:type="dxa"/>
          </w:tcPr>
          <w:p w14:paraId="7FCA76C5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Qualifications:</w:t>
            </w:r>
          </w:p>
        </w:tc>
        <w:tc>
          <w:tcPr>
            <w:tcW w:w="7227" w:type="dxa"/>
          </w:tcPr>
          <w:p w14:paraId="153B5A08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Engineering Degree or equivalent experience.</w:t>
            </w:r>
          </w:p>
          <w:p w14:paraId="20F99F21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20"/>
                <w:szCs w:val="20"/>
              </w:rPr>
            </w:pPr>
          </w:p>
        </w:tc>
      </w:tr>
      <w:tr w:rsidR="006B19A6" w14:paraId="18E58550" w14:textId="77777777" w:rsidTr="00A87477">
        <w:tc>
          <w:tcPr>
            <w:tcW w:w="2628" w:type="dxa"/>
          </w:tcPr>
          <w:p w14:paraId="5F2CC5FA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Date document compiled:</w:t>
            </w:r>
          </w:p>
          <w:p w14:paraId="53B3F7C3" w14:textId="77777777" w:rsidR="006B19A6" w:rsidRDefault="006B19A6" w:rsidP="00A87477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7" w:type="dxa"/>
          </w:tcPr>
          <w:p w14:paraId="3A34DBEA" w14:textId="58A2972F" w:rsidR="006B19A6" w:rsidRDefault="00FE682E" w:rsidP="00A87477">
            <w:pPr>
              <w:autoSpaceDE w:val="0"/>
              <w:autoSpaceDN w:val="0"/>
              <w:adjustRightInd w:val="0"/>
              <w:rPr>
                <w:rStyle w:val="CommentReference"/>
                <w:vanish/>
              </w:rPr>
            </w:pPr>
            <w:r w:rsidRPr="00FE682E">
              <w:rPr>
                <w:rFonts w:ascii="Trebuchet MS" w:hAnsi="Trebuchet MS" w:cs="Arial"/>
                <w:color w:val="000000"/>
                <w:sz w:val="20"/>
                <w:szCs w:val="20"/>
              </w:rPr>
              <w:t>29/10/2021</w:t>
            </w:r>
          </w:p>
        </w:tc>
      </w:tr>
    </w:tbl>
    <w:p w14:paraId="383817B8" w14:textId="77777777" w:rsidR="006B19A6" w:rsidRDefault="006B19A6" w:rsidP="006B19A6">
      <w:pPr>
        <w:autoSpaceDE w:val="0"/>
        <w:autoSpaceDN w:val="0"/>
        <w:adjustRightInd w:val="0"/>
      </w:pPr>
    </w:p>
    <w:p w14:paraId="5AF2B686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2C5113DD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3D73CF51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EE51B96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56601611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This Job Description, along with any set [quarterly] objectives, form the basis of the position and will be used to manage the employee who carries out the role.   In </w:t>
      </w:r>
      <w:proofErr w:type="gramStart"/>
      <w:r>
        <w:rPr>
          <w:rFonts w:ascii="Arial Narrow" w:hAnsi="Arial Narrow" w:cs="Arial"/>
          <w:sz w:val="20"/>
          <w:szCs w:val="20"/>
        </w:rPr>
        <w:t>addition</w:t>
      </w:r>
      <w:proofErr w:type="gramEnd"/>
      <w:r>
        <w:rPr>
          <w:rFonts w:ascii="Arial Narrow" w:hAnsi="Arial Narrow" w:cs="Arial"/>
          <w:sz w:val="20"/>
          <w:szCs w:val="20"/>
        </w:rPr>
        <w:t xml:space="preserve"> or as an alternative to the ‘normal’ responsibilities as described, the employee may from time-to-time be required to undertake, on a temporary or regular basis, additional duties within their capabilities as the needs of the Company's business may require.</w:t>
      </w:r>
    </w:p>
    <w:p w14:paraId="3F3B7C71" w14:textId="77777777" w:rsidR="006B19A6" w:rsidRDefault="006B19A6" w:rsidP="006B19A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821D4F6" w14:textId="77777777" w:rsidR="006B19A6" w:rsidRDefault="006B19A6" w:rsidP="006B19A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F3E05E" w14:textId="77777777" w:rsidR="006B19A6" w:rsidRDefault="006B19A6" w:rsidP="006B19A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AF371C8" w14:textId="77777777" w:rsidR="006B19A6" w:rsidRDefault="006B19A6" w:rsidP="006B19A6">
      <w:pPr>
        <w:autoSpaceDE w:val="0"/>
        <w:autoSpaceDN w:val="0"/>
        <w:adjustRightInd w:val="0"/>
      </w:pPr>
    </w:p>
    <w:p w14:paraId="3B6068DD" w14:textId="1F9485E1" w:rsidR="004706A7" w:rsidRPr="006B19A6" w:rsidRDefault="004706A7" w:rsidP="006B19A6"/>
    <w:sectPr w:rsidR="004706A7" w:rsidRPr="006B19A6" w:rsidSect="009F036A">
      <w:headerReference w:type="first" r:id="rId8"/>
      <w:footerReference w:type="first" r:id="rId9"/>
      <w:pgSz w:w="11900" w:h="16840"/>
      <w:pgMar w:top="851" w:right="85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6377" w14:textId="77777777" w:rsidR="00A9640F" w:rsidRDefault="00A9640F" w:rsidP="002B1363">
      <w:r>
        <w:separator/>
      </w:r>
    </w:p>
  </w:endnote>
  <w:endnote w:type="continuationSeparator" w:id="0">
    <w:p w14:paraId="4BE14ECC" w14:textId="77777777" w:rsidR="00A9640F" w:rsidRDefault="00A9640F" w:rsidP="002B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025A" w14:textId="647B4A7E" w:rsidR="00ED3166" w:rsidRPr="00DB056E" w:rsidRDefault="00ED3166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Lato-Light"/>
        <w:color w:val="000060"/>
        <w:sz w:val="16"/>
        <w:szCs w:val="16"/>
      </w:rPr>
      <w:t xml:space="preserve">CyanConnode Limited Co. Reg No </w:t>
    </w:r>
    <w:r w:rsidR="00BB7106" w:rsidRPr="00DB056E">
      <w:rPr>
        <w:rFonts w:ascii="Lato" w:hAnsi="Lato" w:cs="Lato-Light"/>
        <w:color w:val="000060"/>
        <w:sz w:val="16"/>
        <w:szCs w:val="16"/>
      </w:rPr>
      <w:t>4724479</w:t>
    </w:r>
  </w:p>
  <w:p w14:paraId="63B8EA18" w14:textId="77777777" w:rsidR="00ED3166" w:rsidRPr="00DB056E" w:rsidRDefault="00ED3166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Lato-Light"/>
        <w:color w:val="000060"/>
        <w:sz w:val="16"/>
        <w:szCs w:val="16"/>
      </w:rPr>
      <w:t xml:space="preserve"> Merlin Place, Milton Road, Cambridge CB4 0DP</w:t>
    </w:r>
  </w:p>
  <w:p w14:paraId="47F98BC9" w14:textId="77777777" w:rsidR="00ED3166" w:rsidRPr="00DB056E" w:rsidRDefault="00ED3166" w:rsidP="00ED3166">
    <w:pPr>
      <w:pStyle w:val="BasicParagraph"/>
      <w:spacing w:line="360" w:lineRule="auto"/>
      <w:jc w:val="center"/>
      <w:rPr>
        <w:rFonts w:ascii="Lato" w:hAnsi="Lato" w:cs="Lato-Light"/>
        <w:color w:val="000060"/>
        <w:sz w:val="16"/>
        <w:szCs w:val="16"/>
      </w:rPr>
    </w:pPr>
    <w:r w:rsidRPr="00DB056E">
      <w:rPr>
        <w:rFonts w:ascii="Lato" w:hAnsi="Lato" w:cs="Arial"/>
        <w:b/>
        <w:bCs/>
        <w:color w:val="0092D2"/>
        <w:sz w:val="16"/>
        <w:szCs w:val="16"/>
      </w:rPr>
      <w:t>E:</w:t>
    </w:r>
    <w:r w:rsidRPr="00DB056E">
      <w:rPr>
        <w:rFonts w:ascii="Lato" w:hAnsi="Lato" w:cs="Lato-Regular"/>
        <w:color w:val="000060"/>
        <w:sz w:val="16"/>
        <w:szCs w:val="16"/>
      </w:rPr>
      <w:t xml:space="preserve"> </w:t>
    </w:r>
    <w:r w:rsidRPr="00DB056E">
      <w:rPr>
        <w:rFonts w:ascii="Lato" w:hAnsi="Lato" w:cs="Arial"/>
        <w:color w:val="000060"/>
        <w:sz w:val="16"/>
        <w:szCs w:val="16"/>
      </w:rPr>
      <w:t xml:space="preserve">information@cyanconnode.com     </w:t>
    </w:r>
    <w:r w:rsidRPr="00DB056E">
      <w:rPr>
        <w:rFonts w:ascii="Lato" w:hAnsi="Lato" w:cs="Arial"/>
        <w:b/>
        <w:bCs/>
        <w:color w:val="0092D2"/>
        <w:sz w:val="16"/>
        <w:szCs w:val="16"/>
      </w:rPr>
      <w:t>T:</w:t>
    </w:r>
    <w:r w:rsidRPr="00DB056E">
      <w:rPr>
        <w:rFonts w:ascii="Lato" w:hAnsi="Lato" w:cs="Arial"/>
        <w:color w:val="000060"/>
        <w:sz w:val="16"/>
        <w:szCs w:val="16"/>
      </w:rPr>
      <w:t xml:space="preserve"> +44 1223 225060</w:t>
    </w:r>
  </w:p>
  <w:p w14:paraId="4B7486FE" w14:textId="77777777" w:rsidR="00ED3166" w:rsidRPr="00DB056E" w:rsidRDefault="00ED3166" w:rsidP="00ED3166">
    <w:pPr>
      <w:pStyle w:val="Footer"/>
      <w:jc w:val="center"/>
      <w:rPr>
        <w:rFonts w:ascii="Lato" w:hAnsi="Lato"/>
      </w:rPr>
    </w:pPr>
    <w:r w:rsidRPr="00DB056E">
      <w:rPr>
        <w:rFonts w:ascii="Lato" w:hAnsi="Lato" w:cs="Arial"/>
        <w:b/>
        <w:bCs/>
        <w:color w:val="000060"/>
        <w:sz w:val="16"/>
        <w:szCs w:val="16"/>
      </w:rPr>
      <w:t>CYANCONNODE.COM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F876" w14:textId="77777777" w:rsidR="00A9640F" w:rsidRDefault="00A9640F" w:rsidP="002B1363">
      <w:r>
        <w:separator/>
      </w:r>
    </w:p>
  </w:footnote>
  <w:footnote w:type="continuationSeparator" w:id="0">
    <w:p w14:paraId="5CA03DF8" w14:textId="77777777" w:rsidR="00A9640F" w:rsidRDefault="00A9640F" w:rsidP="002B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2B51" w14:textId="77777777" w:rsidR="007813E7" w:rsidRDefault="007813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1A2BBDC" wp14:editId="1CFBE9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1420" cy="2362200"/>
          <wp:effectExtent l="0" t="0" r="0" b="0"/>
          <wp:wrapSquare wrapText="bothSides"/>
          <wp:docPr id="4" name="Picture 4" descr="Macintosh HD:Users:mac_user:Desktop:Cyan Letterhead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c_user:Desktop:Cyan Letterhead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B4A"/>
    <w:multiLevelType w:val="hybridMultilevel"/>
    <w:tmpl w:val="2C02C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2E3"/>
    <w:multiLevelType w:val="hybridMultilevel"/>
    <w:tmpl w:val="09DE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F34"/>
    <w:multiLevelType w:val="hybridMultilevel"/>
    <w:tmpl w:val="41BC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7AD"/>
    <w:multiLevelType w:val="hybridMultilevel"/>
    <w:tmpl w:val="BA1AF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723"/>
    <w:multiLevelType w:val="hybridMultilevel"/>
    <w:tmpl w:val="9954B820"/>
    <w:lvl w:ilvl="0" w:tplc="8F508D0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6778C"/>
    <w:multiLevelType w:val="hybridMultilevel"/>
    <w:tmpl w:val="33C4351A"/>
    <w:lvl w:ilvl="0" w:tplc="A868251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214EE"/>
    <w:multiLevelType w:val="hybridMultilevel"/>
    <w:tmpl w:val="2FFE7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sDQwNDO1NDYyMTZU0lEKTi0uzszPAykwrAUAkEPyniwAAAA="/>
  </w:docVars>
  <w:rsids>
    <w:rsidRoot w:val="002B1363"/>
    <w:rsid w:val="00007853"/>
    <w:rsid w:val="000535F7"/>
    <w:rsid w:val="0007558C"/>
    <w:rsid w:val="000C6BF4"/>
    <w:rsid w:val="000F0507"/>
    <w:rsid w:val="00133B15"/>
    <w:rsid w:val="00134912"/>
    <w:rsid w:val="00134AD3"/>
    <w:rsid w:val="001663FF"/>
    <w:rsid w:val="00196674"/>
    <w:rsid w:val="00240841"/>
    <w:rsid w:val="00252F5A"/>
    <w:rsid w:val="002B1363"/>
    <w:rsid w:val="002F4354"/>
    <w:rsid w:val="00333627"/>
    <w:rsid w:val="00341C48"/>
    <w:rsid w:val="00353319"/>
    <w:rsid w:val="0035621A"/>
    <w:rsid w:val="004122C9"/>
    <w:rsid w:val="00433EBA"/>
    <w:rsid w:val="004706A7"/>
    <w:rsid w:val="00482A97"/>
    <w:rsid w:val="00483D84"/>
    <w:rsid w:val="004A46E2"/>
    <w:rsid w:val="004B488F"/>
    <w:rsid w:val="004D0556"/>
    <w:rsid w:val="00504951"/>
    <w:rsid w:val="0052223C"/>
    <w:rsid w:val="005B0CCE"/>
    <w:rsid w:val="0060104D"/>
    <w:rsid w:val="00617BF7"/>
    <w:rsid w:val="006B19A6"/>
    <w:rsid w:val="00707174"/>
    <w:rsid w:val="00711DEE"/>
    <w:rsid w:val="007141DC"/>
    <w:rsid w:val="00735123"/>
    <w:rsid w:val="007766A2"/>
    <w:rsid w:val="007813E7"/>
    <w:rsid w:val="008129BB"/>
    <w:rsid w:val="00847A20"/>
    <w:rsid w:val="008775E7"/>
    <w:rsid w:val="00895EC7"/>
    <w:rsid w:val="008B2BBD"/>
    <w:rsid w:val="009D160F"/>
    <w:rsid w:val="009D4005"/>
    <w:rsid w:val="009F036A"/>
    <w:rsid w:val="00A31554"/>
    <w:rsid w:val="00A87B66"/>
    <w:rsid w:val="00A9640F"/>
    <w:rsid w:val="00B15098"/>
    <w:rsid w:val="00BB7106"/>
    <w:rsid w:val="00BC73E1"/>
    <w:rsid w:val="00C728B5"/>
    <w:rsid w:val="00CE53BF"/>
    <w:rsid w:val="00D611FA"/>
    <w:rsid w:val="00DB056E"/>
    <w:rsid w:val="00DC4931"/>
    <w:rsid w:val="00E34519"/>
    <w:rsid w:val="00E52EA3"/>
    <w:rsid w:val="00EB7341"/>
    <w:rsid w:val="00ED3166"/>
    <w:rsid w:val="00EE7F67"/>
    <w:rsid w:val="00F422B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12765"/>
  <w14:defaultImageDpi w14:val="300"/>
  <w15:docId w15:val="{DAE0B569-F578-4071-9EFD-E1ABF7E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363"/>
  </w:style>
  <w:style w:type="paragraph" w:styleId="Footer">
    <w:name w:val="footer"/>
    <w:basedOn w:val="Normal"/>
    <w:link w:val="FooterChar"/>
    <w:uiPriority w:val="99"/>
    <w:unhideWhenUsed/>
    <w:rsid w:val="002B1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363"/>
  </w:style>
  <w:style w:type="paragraph" w:styleId="BalloonText">
    <w:name w:val="Balloon Text"/>
    <w:basedOn w:val="Normal"/>
    <w:link w:val="BalloonTextChar"/>
    <w:uiPriority w:val="99"/>
    <w:semiHidden/>
    <w:unhideWhenUsed/>
    <w:rsid w:val="002B1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1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483D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F67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33362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62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315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07558C"/>
    <w:pPr>
      <w:ind w:firstLine="720"/>
    </w:pPr>
    <w:rPr>
      <w:rFonts w:ascii="Times New Roman" w:eastAsia="Times New Roman" w:hAnsi="Times New Roman" w:cs="Times New Roman"/>
      <w:sz w:val="4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558C"/>
    <w:rPr>
      <w:rFonts w:ascii="Times New Roman" w:eastAsia="Times New Roman" w:hAnsi="Times New Roman" w:cs="Times New Roman"/>
      <w:sz w:val="44"/>
    </w:rPr>
  </w:style>
  <w:style w:type="paragraph" w:styleId="BodyText">
    <w:name w:val="Body Text"/>
    <w:basedOn w:val="Normal"/>
    <w:link w:val="BodyTextChar"/>
    <w:uiPriority w:val="99"/>
    <w:unhideWhenUsed/>
    <w:rsid w:val="006B19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19A6"/>
  </w:style>
  <w:style w:type="character" w:styleId="CommentReference">
    <w:name w:val="annotation reference"/>
    <w:semiHidden/>
    <w:rsid w:val="006B19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1B0B-561E-482F-811B-5900257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Melody Horncastle</cp:lastModifiedBy>
  <cp:revision>2</cp:revision>
  <cp:lastPrinted>2018-10-04T08:26:00Z</cp:lastPrinted>
  <dcterms:created xsi:type="dcterms:W3CDTF">2021-11-02T17:17:00Z</dcterms:created>
  <dcterms:modified xsi:type="dcterms:W3CDTF">2021-11-02T17:17:00Z</dcterms:modified>
</cp:coreProperties>
</file>